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8" w:rsidRDefault="00512F68" w:rsidP="00512F68">
      <w:pPr>
        <w:ind w:right="99"/>
        <w:jc w:val="right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ПРОЕКТ</w:t>
      </w:r>
    </w:p>
    <w:p w:rsidR="00512F68" w:rsidRDefault="00512F68" w:rsidP="00512F68">
      <w:pPr>
        <w:ind w:right="99"/>
        <w:jc w:val="right"/>
        <w:rPr>
          <w:b/>
          <w:noProof/>
          <w:sz w:val="16"/>
          <w:szCs w:val="16"/>
        </w:rPr>
      </w:pPr>
    </w:p>
    <w:p w:rsidR="00512F68" w:rsidRDefault="00512F68" w:rsidP="00512F68">
      <w:pPr>
        <w:ind w:right="9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68" w:rsidRDefault="00512F68" w:rsidP="00512F68">
      <w:pPr>
        <w:ind w:right="99"/>
        <w:jc w:val="center"/>
      </w:pP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муниципальный округ Морские ворота</w:t>
      </w:r>
    </w:p>
    <w:p w:rsidR="00512F68" w:rsidRPr="00471B89" w:rsidRDefault="00512F68" w:rsidP="00512F68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12F68" w:rsidRDefault="00512F68" w:rsidP="00512F68">
      <w:pPr>
        <w:jc w:val="center"/>
        <w:rPr>
          <w:b/>
          <w:bCs/>
        </w:rPr>
      </w:pPr>
    </w:p>
    <w:p w:rsidR="00512F68" w:rsidRPr="00461823" w:rsidRDefault="00512F68" w:rsidP="00512F68">
      <w:pPr>
        <w:jc w:val="center"/>
        <w:rPr>
          <w:b/>
          <w:bCs/>
        </w:rPr>
      </w:pPr>
    </w:p>
    <w:p w:rsidR="00512F68" w:rsidRDefault="00512F68" w:rsidP="00512F6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12F68" w:rsidRDefault="00512F68" w:rsidP="00512F68">
      <w:pPr>
        <w:jc w:val="center"/>
        <w:rPr>
          <w:b/>
          <w:bCs/>
        </w:rPr>
      </w:pPr>
    </w:p>
    <w:p w:rsidR="00512F68" w:rsidRDefault="00512F68" w:rsidP="00512F68">
      <w:pPr>
        <w:jc w:val="center"/>
        <w:rPr>
          <w:b/>
          <w:bCs/>
        </w:rPr>
      </w:pPr>
    </w:p>
    <w:p w:rsidR="00512F68" w:rsidRPr="00461823" w:rsidRDefault="00512F68" w:rsidP="00512F68">
      <w:pPr>
        <w:jc w:val="both"/>
        <w:rPr>
          <w:bCs/>
        </w:rPr>
      </w:pPr>
      <w:r>
        <w:rPr>
          <w:bCs/>
        </w:rPr>
        <w:t>__.__.2021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__/__</w:t>
      </w: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Об утверждении Отчета об исполнении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бюджета внутригородского муниципального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образования Санкт-Петербурга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>округ Морские ворота за 2020 год</w:t>
      </w: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ind w:firstLine="720"/>
        <w:jc w:val="both"/>
      </w:pPr>
      <w:proofErr w:type="gramStart"/>
      <w:r>
        <w:t xml:space="preserve">Рассмотрев проект Решения «Об утверждении Отчета об исполнении бюджета  внутригородского муниципального образования Санкт-Петербурга муниципальный округ Морские ворота за 2020 год» от </w:t>
      </w:r>
      <w:r w:rsidRPr="00512F68">
        <w:t>28</w:t>
      </w:r>
      <w:r>
        <w:t>.</w:t>
      </w:r>
      <w:r w:rsidRPr="00512F68">
        <w:t>04</w:t>
      </w:r>
      <w:r>
        <w:t>.2021 г., представленный Главой Местной Администрации муниципального образования муниципальный округ Морские ворота, Протокол публичных слушаний от </w:t>
      </w:r>
      <w:r w:rsidRPr="00512F68">
        <w:t>13</w:t>
      </w:r>
      <w:r>
        <w:t>.</w:t>
      </w:r>
      <w:r w:rsidRPr="00512F68">
        <w:t>05</w:t>
      </w:r>
      <w:r>
        <w:t>.2021 г. по Отчету об исполнении бюджета внутригородского муниципального образования Санкт-Петербурга муниципальный округ Морские ворота за 2020 год, пояснительную записку к Отчету об</w:t>
      </w:r>
      <w:proofErr w:type="gramEnd"/>
      <w:r>
        <w:t xml:space="preserve"> </w:t>
      </w:r>
      <w:proofErr w:type="gramStart"/>
      <w:r>
        <w:t>исполнении бюджета внутригородского муниципального образования Санкт-Петербурга муниципальный округ Морские ворота за 2020 год, а также учитывая Протокол Ревизионной комиссии муниципального образования муниципальный округ Морские ворота от </w:t>
      </w:r>
      <w:r w:rsidRPr="00512F68">
        <w:t>15</w:t>
      </w:r>
      <w:r>
        <w:t>.</w:t>
      </w:r>
      <w:r w:rsidRPr="00512F68">
        <w:t>04</w:t>
      </w:r>
      <w:r>
        <w:t>.2021 № </w:t>
      </w:r>
      <w:r w:rsidRPr="00512F68">
        <w:t>02</w:t>
      </w:r>
      <w:r>
        <w:t>, заключение Контрольно-счетной палаты Санкт-Петербурга от </w:t>
      </w:r>
      <w:r w:rsidRPr="00512F68">
        <w:t>26</w:t>
      </w:r>
      <w:r>
        <w:t>.</w:t>
      </w:r>
      <w:r w:rsidRPr="00512F68">
        <w:t>04</w:t>
      </w:r>
      <w:r>
        <w:t>.2021 №</w:t>
      </w:r>
      <w:r w:rsidRPr="00512F68">
        <w:t xml:space="preserve"> 1-295/21-</w:t>
      </w:r>
      <w:r w:rsidRPr="00A47F4E">
        <w:t>3</w:t>
      </w:r>
      <w:r>
        <w:t>,</w:t>
      </w:r>
      <w:proofErr w:type="gramEnd"/>
    </w:p>
    <w:p w:rsidR="00512F68" w:rsidRDefault="00512F68" w:rsidP="00512F68">
      <w:pPr>
        <w:ind w:firstLine="720"/>
        <w:jc w:val="both"/>
        <w:rPr>
          <w:b/>
          <w:bCs/>
        </w:rPr>
      </w:pPr>
    </w:p>
    <w:p w:rsidR="00512F68" w:rsidRDefault="00512F68" w:rsidP="00512F68">
      <w:pPr>
        <w:ind w:firstLine="720"/>
        <w:jc w:val="both"/>
        <w:rPr>
          <w:b/>
          <w:bCs/>
        </w:rPr>
      </w:pPr>
      <w:r>
        <w:rPr>
          <w:b/>
          <w:bCs/>
        </w:rPr>
        <w:t>СОВЕТ РЕШИЛ:</w:t>
      </w:r>
    </w:p>
    <w:p w:rsidR="00512F68" w:rsidRDefault="00512F68" w:rsidP="00512F68">
      <w:pPr>
        <w:ind w:firstLine="720"/>
        <w:jc w:val="both"/>
        <w:rPr>
          <w:b/>
          <w:bCs/>
          <w:sz w:val="16"/>
          <w:szCs w:val="16"/>
        </w:rPr>
      </w:pPr>
    </w:p>
    <w:p w:rsidR="00512F68" w:rsidRDefault="00512F68" w:rsidP="00512F68">
      <w:pPr>
        <w:ind w:firstLine="708"/>
        <w:jc w:val="both"/>
      </w:pPr>
      <w:r>
        <w:t>1. Утвердить отчет об исполнении бюджета внутригородского муниципального образования Санкт-Петербурга муниципальный округ Морские ворота за 2020 год:</w:t>
      </w:r>
    </w:p>
    <w:p w:rsidR="00512F68" w:rsidRDefault="00512F68" w:rsidP="00512F68">
      <w:pPr>
        <w:ind w:firstLine="708"/>
        <w:jc w:val="both"/>
      </w:pPr>
      <w:r>
        <w:t>1.1. По доходам в сумме 40 237,0 тыс. руб. согласно Приложению № 01 к настоящему Решению.</w:t>
      </w:r>
    </w:p>
    <w:p w:rsidR="00512F68" w:rsidRDefault="00512F68" w:rsidP="00512F68">
      <w:pPr>
        <w:ind w:firstLine="708"/>
        <w:jc w:val="both"/>
      </w:pPr>
      <w:r>
        <w:t>1.2. По расходам бюджета в сумме 30 983,0 тыс</w:t>
      </w:r>
      <w:proofErr w:type="gramStart"/>
      <w:r>
        <w:t>.р</w:t>
      </w:r>
      <w:proofErr w:type="gramEnd"/>
      <w:r>
        <w:t>уб. согласно Приложениям № 02 и № 03 к настоящему Решению;</w:t>
      </w:r>
    </w:p>
    <w:p w:rsidR="00512F68" w:rsidRDefault="00512F68" w:rsidP="00512F68">
      <w:pPr>
        <w:ind w:firstLine="708"/>
        <w:jc w:val="both"/>
      </w:pPr>
      <w:r>
        <w:t xml:space="preserve">1.3. По </w:t>
      </w:r>
      <w:proofErr w:type="spellStart"/>
      <w:r>
        <w:t>профициту</w:t>
      </w:r>
      <w:proofErr w:type="spellEnd"/>
      <w:r>
        <w:t xml:space="preserve"> бюджета из источников внутреннего финансирования дефицита бюджета в сумме 9 254,0 тыс</w:t>
      </w:r>
      <w:proofErr w:type="gramStart"/>
      <w:r>
        <w:t>.р</w:t>
      </w:r>
      <w:proofErr w:type="gramEnd"/>
      <w:r>
        <w:t>уб. согласно Приложению № 04 к настоящему Решению.</w:t>
      </w:r>
    </w:p>
    <w:p w:rsidR="00512F68" w:rsidRDefault="00512F68" w:rsidP="00512F68">
      <w:pPr>
        <w:ind w:firstLine="708"/>
        <w:jc w:val="both"/>
      </w:pPr>
      <w:r>
        <w:t xml:space="preserve"> 2. Утвердить отчет о расходовании бюджетных </w:t>
      </w:r>
      <w:proofErr w:type="gramStart"/>
      <w:r>
        <w:t>ассигнований резервного фонда Местной Администрации внутригородского муниципального образования Санкт-Петербурга</w:t>
      </w:r>
      <w:proofErr w:type="gramEnd"/>
      <w:r>
        <w:t xml:space="preserve"> муниципальный округ Морские ворота за 2020 год  согласно Приложению № 05 к настоящему Решению.</w:t>
      </w:r>
    </w:p>
    <w:p w:rsidR="00512F68" w:rsidRDefault="00512F68" w:rsidP="00512F68">
      <w:pPr>
        <w:ind w:firstLine="708"/>
        <w:jc w:val="both"/>
      </w:pPr>
      <w:r>
        <w:t>3. Утвердить исполнение общего объема межбюджетных трансфертов за 2020 год в сумме 6 565,2 тыс. руб.</w:t>
      </w:r>
    </w:p>
    <w:p w:rsidR="00512F68" w:rsidRDefault="00512F68" w:rsidP="00512F68">
      <w:pPr>
        <w:ind w:firstLine="708"/>
        <w:jc w:val="both"/>
      </w:pPr>
      <w:r>
        <w:lastRenderedPageBreak/>
        <w:t>4. Утвердить исполнение общего объема бюджетных ассигнований, направленных на исполнение публичных нормативных обязательств за 2020 году в сумме 2 399,4</w:t>
      </w:r>
      <w:r>
        <w:rPr>
          <w:lang w:val="en-US"/>
        </w:rPr>
        <w:t> </w:t>
      </w:r>
      <w:r>
        <w:t>тыс</w:t>
      </w:r>
      <w:proofErr w:type="gramStart"/>
      <w:r>
        <w:t>.р</w:t>
      </w:r>
      <w:proofErr w:type="gramEnd"/>
      <w:r>
        <w:t>уб.</w:t>
      </w:r>
    </w:p>
    <w:p w:rsidR="00512F68" w:rsidRDefault="00512F68" w:rsidP="00512F68">
      <w:pPr>
        <w:jc w:val="both"/>
      </w:pPr>
      <w:r>
        <w:tab/>
        <w:t>5. 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Морские ворота Привалова А.А.</w:t>
      </w:r>
    </w:p>
    <w:p w:rsidR="00512F68" w:rsidRDefault="00512F68" w:rsidP="00512F68">
      <w:pPr>
        <w:ind w:firstLine="708"/>
        <w:jc w:val="both"/>
      </w:pPr>
      <w:r>
        <w:t>6. 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Морские ворота – газете «Муниципальный вестник».</w:t>
      </w:r>
    </w:p>
    <w:p w:rsidR="00512F68" w:rsidRDefault="00512F68" w:rsidP="00512F68">
      <w:pPr>
        <w:ind w:firstLine="708"/>
        <w:jc w:val="both"/>
      </w:pPr>
      <w:r>
        <w:t>7. Настоящее решение вступает в силу с момента официального опубликования.</w:t>
      </w:r>
    </w:p>
    <w:p w:rsidR="00512F68" w:rsidRDefault="00512F68" w:rsidP="00512F68">
      <w:pPr>
        <w:jc w:val="both"/>
      </w:pPr>
    </w:p>
    <w:p w:rsidR="00512F68" w:rsidRDefault="00512F68" w:rsidP="00512F68">
      <w:pPr>
        <w:jc w:val="both"/>
      </w:pPr>
    </w:p>
    <w:p w:rsidR="00512F68" w:rsidRDefault="00512F68" w:rsidP="00512F68">
      <w:pPr>
        <w:jc w:val="both"/>
      </w:pPr>
    </w:p>
    <w:p w:rsidR="00512F68" w:rsidRDefault="00512F68" w:rsidP="00512F68">
      <w:r>
        <w:t>Председательствующий,</w:t>
      </w:r>
    </w:p>
    <w:p w:rsidR="00512F68" w:rsidRDefault="00512F68" w:rsidP="00512F68">
      <w:r>
        <w:t xml:space="preserve">Глава </w:t>
      </w:r>
      <w:proofErr w:type="gramStart"/>
      <w:r>
        <w:t>внутригородского</w:t>
      </w:r>
      <w:proofErr w:type="gramEnd"/>
      <w:r>
        <w:t xml:space="preserve"> муниципального</w:t>
      </w:r>
    </w:p>
    <w:p w:rsidR="00512F68" w:rsidRDefault="00512F68" w:rsidP="00512F68">
      <w:r>
        <w:t>образования Санкт-Петербурга</w:t>
      </w:r>
    </w:p>
    <w:p w:rsidR="00512F68" w:rsidRDefault="00512F68" w:rsidP="00512F68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 </w:t>
      </w:r>
      <w:r>
        <w:t>А.А.Привалов</w:t>
      </w: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01 </w:t>
      </w:r>
    </w:p>
    <w:p w:rsidR="00A47F4E" w:rsidRDefault="00A47F4E" w:rsidP="00A47F4E">
      <w:pPr>
        <w:ind w:left="4956"/>
      </w:pPr>
      <w:r>
        <w:t xml:space="preserve">      к Решению Муниципального Совета </w:t>
      </w:r>
    </w:p>
    <w:p w:rsidR="00A47F4E" w:rsidRDefault="00A47F4E" w:rsidP="00A47F4E">
      <w:pPr>
        <w:ind w:left="4248" w:firstLine="708"/>
      </w:pPr>
      <w:r>
        <w:t xml:space="preserve">      муниципального образования </w:t>
      </w:r>
    </w:p>
    <w:p w:rsidR="00A47F4E" w:rsidRDefault="00A47F4E" w:rsidP="00A47F4E">
      <w:pPr>
        <w:ind w:left="4248" w:firstLine="708"/>
      </w:pPr>
      <w:r>
        <w:rPr>
          <w:lang w:val="en-US"/>
        </w:rPr>
        <w:t>      </w:t>
      </w:r>
      <w:r>
        <w:t xml:space="preserve">муниципальный округ Морские ворота </w:t>
      </w:r>
    </w:p>
    <w:p w:rsidR="00A47F4E" w:rsidRDefault="00A47F4E" w:rsidP="00A47F4E">
      <w:pPr>
        <w:ind w:left="4248" w:firstLine="708"/>
      </w:pPr>
      <w:r>
        <w:rPr>
          <w:lang w:val="en-US"/>
        </w:rPr>
        <w:t>      </w:t>
      </w:r>
      <w:r>
        <w:t>от __.__.2021 №</w:t>
      </w:r>
      <w:r>
        <w:rPr>
          <w:lang w:val="en-US"/>
        </w:rPr>
        <w:t> </w:t>
      </w:r>
      <w:r>
        <w:t>__/__</w:t>
      </w:r>
    </w:p>
    <w:p w:rsidR="00A47F4E" w:rsidRDefault="00A47F4E" w:rsidP="00A47F4E"/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внутригородского муниципального образования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Морские ворота по доходам за 2020 год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согласно кодам классификации доходов бюджетов</w:t>
      </w:r>
    </w:p>
    <w:p w:rsidR="00A47F4E" w:rsidRDefault="00A47F4E" w:rsidP="00A47F4E">
      <w:pPr>
        <w:jc w:val="center"/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962"/>
        <w:gridCol w:w="1981"/>
        <w:gridCol w:w="900"/>
        <w:gridCol w:w="1005"/>
        <w:gridCol w:w="1134"/>
      </w:tblGrid>
      <w:tr w:rsidR="00A47F4E" w:rsidTr="00AC1F56">
        <w:trPr>
          <w:trHeight w:val="4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№   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Источники доходов</w:t>
            </w:r>
          </w:p>
          <w:p w:rsidR="00A47F4E" w:rsidRDefault="00A47F4E" w:rsidP="00AC1F5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статьи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 (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на 01.01.2021г. (тыс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A47F4E" w:rsidTr="00AC1F56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32 105,5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33 671,8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104,9%</w:t>
            </w:r>
          </w:p>
        </w:tc>
      </w:tr>
      <w:tr w:rsidR="00A47F4E" w:rsidTr="00AC1F56"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30 993,1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32 858,2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106,0%</w:t>
            </w:r>
          </w:p>
        </w:tc>
      </w:tr>
      <w:tr w:rsidR="00A47F4E" w:rsidTr="00AC1F56">
        <w:trPr>
          <w:trHeight w:val="1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000 1 05 01000 00 0000 110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28 403,0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29 970,3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105,5%</w:t>
            </w:r>
          </w:p>
        </w:tc>
      </w:tr>
      <w:tr w:rsidR="00A47F4E" w:rsidTr="00AC1F56">
        <w:trPr>
          <w:trHeight w:val="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000 1 05 01010 01 0000 110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15 142,8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106,6%</w:t>
            </w:r>
          </w:p>
        </w:tc>
      </w:tr>
      <w:tr w:rsidR="00A47F4E" w:rsidTr="00AC1F56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182 1 05 01011 01 0000 110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15 142,8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106,6%</w:t>
            </w:r>
          </w:p>
        </w:tc>
      </w:tr>
      <w:tr w:rsidR="00A47F4E" w:rsidTr="00AC1F56">
        <w:trPr>
          <w:trHeight w:val="2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182 1 05 01012 01 0000 110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C4EC1" w:rsidRDefault="00A47F4E" w:rsidP="00AC1F56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налогообложения </w:t>
            </w:r>
            <w:proofErr w:type="spellStart"/>
            <w:r w:rsidRPr="00AA695A">
              <w:rPr>
                <w:sz w:val="14"/>
                <w:szCs w:val="14"/>
              </w:rPr>
              <w:t>доходы,уменьшенные</w:t>
            </w:r>
            <w:proofErr w:type="spellEnd"/>
            <w:r w:rsidRPr="00AA695A">
              <w:rPr>
                <w:sz w:val="14"/>
                <w:szCs w:val="14"/>
              </w:rPr>
              <w:t xml:space="preserve"> на величину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000 1 05 01020 01 0000 110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104,5%</w:t>
            </w:r>
          </w:p>
        </w:tc>
      </w:tr>
      <w:tr w:rsidR="00A47F4E" w:rsidTr="00AC1F56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AA695A">
              <w:rPr>
                <w:sz w:val="14"/>
                <w:szCs w:val="14"/>
              </w:rPr>
              <w:t>в(</w:t>
            </w:r>
            <w:proofErr w:type="gramEnd"/>
            <w:r w:rsidRPr="00AA695A">
              <w:rPr>
                <w:sz w:val="14"/>
                <w:szCs w:val="14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182 1 05 01021 01 0000 110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104,5%</w:t>
            </w:r>
          </w:p>
        </w:tc>
      </w:tr>
      <w:tr w:rsidR="00A47F4E" w:rsidTr="00AC1F56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налогообложения </w:t>
            </w:r>
            <w:proofErr w:type="spellStart"/>
            <w:r w:rsidRPr="00AA695A">
              <w:rPr>
                <w:sz w:val="14"/>
                <w:szCs w:val="14"/>
              </w:rPr>
              <w:t>доходы,уменьшенные</w:t>
            </w:r>
            <w:proofErr w:type="spellEnd"/>
            <w:r w:rsidRPr="00AA695A">
              <w:rPr>
                <w:sz w:val="14"/>
                <w:szCs w:val="14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182 1 05 01022 01 0000 110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182 1 05 01050 01 0000 110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-4,8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000 1 05 02000 02 0000 110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2 500,1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2 739,8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109,6%</w:t>
            </w:r>
          </w:p>
        </w:tc>
      </w:tr>
      <w:tr w:rsidR="00A47F4E" w:rsidTr="00AC1F56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182 1 05 02010 02 0000 110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2 500,0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2 739,7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109,6%</w:t>
            </w:r>
          </w:p>
        </w:tc>
      </w:tr>
      <w:tr w:rsidR="00A47F4E" w:rsidTr="00AC1F56">
        <w:trPr>
          <w:trHeight w:val="1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182 1 05 02020 02 0000 110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21488" w:rsidRDefault="00A47F4E" w:rsidP="00AC1F56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000 1 05 04000 02 0000 110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164,6%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182 1 05 04030 02 0000 110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164,6%</w:t>
            </w:r>
          </w:p>
        </w:tc>
      </w:tr>
      <w:tr w:rsidR="00A47F4E" w:rsidTr="00AC1F56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000 1 13 00000 00 0000 000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93,8%</w:t>
            </w:r>
          </w:p>
        </w:tc>
      </w:tr>
      <w:tr w:rsidR="00A47F4E" w:rsidTr="00AC1F56">
        <w:trPr>
          <w:trHeight w:val="2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000 1 13 02000 00 0000 130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A47F4E" w:rsidTr="00AC1F56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000 1 13 02990 00 0000 130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Прочие доходы от компенсации </w:t>
            </w:r>
            <w:proofErr w:type="gramStart"/>
            <w:r w:rsidRPr="00AA695A">
              <w:rPr>
                <w:sz w:val="14"/>
                <w:szCs w:val="1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A695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000 1 13 02993 03 0000 130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867 1 13 02993 03 0100 130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45,4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Другие </w:t>
            </w:r>
            <w:proofErr w:type="spellStart"/>
            <w:r w:rsidRPr="00AA695A">
              <w:rPr>
                <w:sz w:val="14"/>
                <w:szCs w:val="14"/>
              </w:rPr>
              <w:t>двиды</w:t>
            </w:r>
            <w:proofErr w:type="spellEnd"/>
            <w:r w:rsidRPr="00AA695A">
              <w:rPr>
                <w:sz w:val="14"/>
                <w:szCs w:val="14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AA695A" w:rsidRDefault="00A47F4E" w:rsidP="00AC1F56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931 1 13 02993 03 0200 130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56,0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332D6" w:rsidRDefault="00A47F4E" w:rsidP="00AC1F56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B442E">
              <w:rPr>
                <w:b/>
                <w:bCs/>
                <w:sz w:val="14"/>
                <w:szCs w:val="14"/>
              </w:rPr>
              <w:t>Штрафы</w:t>
            </w:r>
            <w:proofErr w:type="gramStart"/>
            <w:r w:rsidRPr="00EB442E">
              <w:rPr>
                <w:b/>
                <w:bCs/>
                <w:sz w:val="14"/>
                <w:szCs w:val="14"/>
              </w:rPr>
              <w:t>,с</w:t>
            </w:r>
            <w:proofErr w:type="gramEnd"/>
            <w:r w:rsidRPr="00EB442E">
              <w:rPr>
                <w:b/>
                <w:bCs/>
                <w:sz w:val="14"/>
                <w:szCs w:val="14"/>
              </w:rPr>
              <w:t>анкции,возмещение</w:t>
            </w:r>
            <w:proofErr w:type="spellEnd"/>
            <w:r w:rsidRPr="00EB442E">
              <w:rPr>
                <w:b/>
                <w:bCs/>
                <w:sz w:val="14"/>
                <w:szCs w:val="14"/>
              </w:rPr>
              <w:t xml:space="preserve"> ущерба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000 1 16 00000 00 0000 000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1 011,0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71,1%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000 1 16 02000 02 0000 140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292,0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104,5%</w:t>
            </w:r>
          </w:p>
        </w:tc>
      </w:tr>
      <w:tr w:rsidR="00A47F4E" w:rsidTr="00AC1F56">
        <w:trPr>
          <w:trHeight w:val="1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000 1 16 02010 02 0000 140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292,0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104,5%</w:t>
            </w:r>
          </w:p>
        </w:tc>
      </w:tr>
      <w:tr w:rsidR="00A47F4E" w:rsidTr="00AC1F56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806 1 16 02010 02 0100 140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110,0%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 xml:space="preserve">Штрафы, предусмотренные статьями 12 - 37-1, 44 Закона Санкт-Петербурга от 12.05.2010 №273-70 «Об </w:t>
            </w:r>
            <w:r w:rsidRPr="00EB442E">
              <w:rPr>
                <w:sz w:val="14"/>
                <w:szCs w:val="14"/>
              </w:rPr>
              <w:lastRenderedPageBreak/>
              <w:t>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lastRenderedPageBreak/>
              <w:t>807 1 16 02010 02 0100 140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lastRenderedPageBreak/>
              <w:t>3.1.1.3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824 1 16 02010 02 0100 140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850 1 16 02010 02 0100 140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EB442E" w:rsidRDefault="00A47F4E" w:rsidP="00AC1F56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5F61DB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931 1 16 07010 00 0000 140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5F61DB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931 1 16 07010 03 0000 140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931 1 16 07090 00 0000 140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931 1 16 07090 03 0000 140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F61DB" w:rsidRDefault="00A47F4E" w:rsidP="00AC1F56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000 1 16 10000 00 0000 140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717,4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57,6%</w:t>
            </w:r>
          </w:p>
        </w:tc>
      </w:tr>
      <w:tr w:rsidR="00A47F4E" w:rsidTr="00AC1F56">
        <w:trPr>
          <w:trHeight w:val="1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931 1 16 10030 03 0000 140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1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F67A2">
              <w:rPr>
                <w:sz w:val="14"/>
                <w:szCs w:val="14"/>
              </w:rPr>
              <w:t>выгодоприобретателями</w:t>
            </w:r>
            <w:proofErr w:type="spellEnd"/>
            <w:r w:rsidRPr="00FF67A2">
              <w:rPr>
                <w:sz w:val="14"/>
                <w:szCs w:val="14"/>
              </w:rPr>
              <w:t xml:space="preserve"> выступают получатели </w:t>
            </w:r>
            <w:proofErr w:type="gramStart"/>
            <w:r w:rsidRPr="00FF67A2">
              <w:rPr>
                <w:sz w:val="14"/>
                <w:szCs w:val="1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931 1 16 10031 03 0000 140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F67A2" w:rsidRDefault="00A47F4E" w:rsidP="00AC1F56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 до 1 января 2020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000 1 16 10120 01 0000 140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712,4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58,0%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260E3A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260E3A">
              <w:rPr>
                <w:sz w:val="14"/>
                <w:szCs w:val="14"/>
              </w:rPr>
              <w:t>учете</w:t>
            </w:r>
            <w:proofErr w:type="gramEnd"/>
            <w:r w:rsidRPr="00260E3A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000 1 16 10123 01 0031 140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712,4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58,0%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260E3A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260E3A">
              <w:rPr>
                <w:sz w:val="14"/>
                <w:szCs w:val="14"/>
              </w:rPr>
              <w:t>учете</w:t>
            </w:r>
            <w:proofErr w:type="gramEnd"/>
            <w:r w:rsidRPr="00260E3A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153 1 16 10123 01 0031 140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113,2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260E3A" w:rsidRDefault="00A47F4E" w:rsidP="00AC1F56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107,2%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3.3.2.1.2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5B4E4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5B4E4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5B4E4F">
              <w:rPr>
                <w:sz w:val="14"/>
                <w:szCs w:val="14"/>
              </w:rPr>
              <w:t>учете</w:t>
            </w:r>
            <w:proofErr w:type="gramEnd"/>
            <w:r w:rsidRPr="005B4E4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182 1 16 10123 01 0031 140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lastRenderedPageBreak/>
              <w:t>3.3.2.1.3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5B4E4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5B4E4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5B4E4F">
              <w:rPr>
                <w:sz w:val="14"/>
                <w:szCs w:val="14"/>
              </w:rPr>
              <w:t>учете</w:t>
            </w:r>
            <w:proofErr w:type="gramEnd"/>
            <w:r w:rsidRPr="005B4E4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806 1 16 10123 01 0031 140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586,5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5B4E4F" w:rsidRDefault="00A47F4E" w:rsidP="00AC1F56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48,5%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807 1 16 10123 01 0031 140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824 1 16 10123 01 0031 140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850 1 16 10123 01 0031 140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C45E6E" w:rsidRDefault="00A47F4E" w:rsidP="00AC1F56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60,0%</w:t>
            </w:r>
          </w:p>
        </w:tc>
      </w:tr>
      <w:tr w:rsidR="00A47F4E" w:rsidTr="00AC1F56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6 627,6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6 627,6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000 2 02 10000 00 0000 150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Прочие дотации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000 2 02 19999 00 0000 150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931 2 02 19999 03 0000 150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000 2 02 30000 00 0000 150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4 378,4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4 316,0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000 2 02 30024 00 0000 150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A47F4E" w:rsidRPr="00152FA9" w:rsidRDefault="00A47F4E" w:rsidP="00AC1F56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931 2 02 30024 03 0000 150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931 2 02 30024 03 0100 150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1 680,7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99,6%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931 2 02 30024 03 0200 150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000 2 02 30027 00 0000 150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2 690,2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98,2%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931 2 02 30027 03 0000 150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2 690,2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98,2%</w:t>
            </w:r>
          </w:p>
        </w:tc>
      </w:tr>
      <w:tr w:rsidR="00A47F4E" w:rsidTr="00AC1F56">
        <w:trPr>
          <w:trHeight w:val="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931 2 02 30027 03 0100 150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1 493,4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1 493,4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931 2 02 30027 03 0200 150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1 196,8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152FA9" w:rsidRDefault="00A47F4E" w:rsidP="00AC1F56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96,0%</w:t>
            </w:r>
          </w:p>
        </w:tc>
      </w:tr>
      <w:tr w:rsidR="00A47F4E" w:rsidTr="00AC1F56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38 733,1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40 237,0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152FA9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103,9%</w:t>
            </w:r>
          </w:p>
        </w:tc>
      </w:tr>
    </w:tbl>
    <w:p w:rsidR="00A47F4E" w:rsidRDefault="00A47F4E" w:rsidP="00A47F4E"/>
    <w:p w:rsidR="00A47F4E" w:rsidRDefault="00A47F4E" w:rsidP="00A47F4E"/>
    <w:p w:rsidR="00A47F4E" w:rsidRDefault="00A47F4E" w:rsidP="00A47F4E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02 </w:t>
      </w:r>
    </w:p>
    <w:p w:rsidR="00A47F4E" w:rsidRDefault="00A47F4E" w:rsidP="00A47F4E">
      <w:pPr>
        <w:ind w:left="4956"/>
      </w:pPr>
      <w:r>
        <w:t xml:space="preserve">      к Решению Муниципального Совета </w:t>
      </w:r>
    </w:p>
    <w:p w:rsidR="00A47F4E" w:rsidRDefault="00A47F4E" w:rsidP="00A47F4E">
      <w:pPr>
        <w:ind w:left="4248" w:firstLine="708"/>
      </w:pPr>
      <w:r>
        <w:rPr>
          <w:lang w:val="en-US"/>
        </w:rPr>
        <w:t>      </w:t>
      </w:r>
      <w:r>
        <w:t xml:space="preserve">муниципального образования </w:t>
      </w:r>
    </w:p>
    <w:p w:rsidR="00A47F4E" w:rsidRDefault="00A47F4E" w:rsidP="00A47F4E">
      <w:pPr>
        <w:ind w:left="4248" w:firstLine="708"/>
      </w:pPr>
      <w:r>
        <w:t xml:space="preserve">      муниципальный округ Морские ворота </w:t>
      </w:r>
    </w:p>
    <w:p w:rsidR="00A47F4E" w:rsidRDefault="00A47F4E" w:rsidP="00A47F4E">
      <w:pPr>
        <w:ind w:left="4956"/>
      </w:pPr>
      <w:r>
        <w:rPr>
          <w:lang w:val="en-US"/>
        </w:rPr>
        <w:t>      </w:t>
      </w:r>
      <w:r>
        <w:t>от __.__.2021 № __/__</w:t>
      </w:r>
    </w:p>
    <w:p w:rsidR="00A47F4E" w:rsidRDefault="00A47F4E" w:rsidP="00A47F4E">
      <w:pPr>
        <w:rPr>
          <w:b/>
          <w:bCs/>
        </w:rPr>
      </w:pPr>
    </w:p>
    <w:p w:rsidR="00A47F4E" w:rsidRDefault="00A47F4E" w:rsidP="00A47F4E">
      <w:pPr>
        <w:jc w:val="center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53.1pt;width:8.95pt;height:23.3pt;z-index:251660288" filled="f" stroked="f" strokecolor="windowText" o:insetmode="auto">
            <v:textbox>
              <w:txbxContent>
                <w:p w:rsidR="00A47F4E" w:rsidRDefault="00A47F4E" w:rsidP="00A47F4E"/>
              </w:txbxContent>
            </v:textbox>
          </v:shape>
        </w:pict>
      </w:r>
      <w:r>
        <w:rPr>
          <w:b/>
          <w:bCs/>
        </w:rPr>
        <w:t>Отчет об исполнении бюджета внутригородского муниципального образования Санкт-Петербурга муниципальный округ Морские ворота по расходам за 2020 год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согласно ведомственной структуре расходов</w:t>
      </w:r>
    </w:p>
    <w:p w:rsidR="00A47F4E" w:rsidRDefault="00A47F4E" w:rsidP="00A47F4E">
      <w:pPr>
        <w:jc w:val="center"/>
        <w:rPr>
          <w:b/>
          <w:bCs/>
          <w:sz w:val="16"/>
          <w:szCs w:val="16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78"/>
        <w:gridCol w:w="540"/>
        <w:gridCol w:w="923"/>
        <w:gridCol w:w="1087"/>
        <w:gridCol w:w="576"/>
        <w:gridCol w:w="889"/>
        <w:gridCol w:w="875"/>
        <w:gridCol w:w="722"/>
      </w:tblGrid>
      <w:tr w:rsidR="00A47F4E" w:rsidTr="00AC1F56">
        <w:trPr>
          <w:trHeight w:val="11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 xml:space="preserve">№  </w:t>
            </w:r>
            <w:r w:rsidRPr="00EE09C7">
              <w:rPr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EE09C7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Наименование статей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 xml:space="preserve">раздела и </w:t>
            </w:r>
            <w:r w:rsidRPr="00EE09C7">
              <w:rPr>
                <w:b/>
                <w:bCs/>
                <w:sz w:val="14"/>
                <w:szCs w:val="14"/>
              </w:rPr>
              <w:br/>
              <w:t>подраздела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целевой</w:t>
            </w:r>
            <w:r w:rsidRPr="00EE09C7">
              <w:rPr>
                <w:b/>
                <w:bCs/>
                <w:sz w:val="14"/>
                <w:szCs w:val="14"/>
              </w:rPr>
              <w:br/>
              <w:t>статьи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вида</w:t>
            </w:r>
            <w:r w:rsidRPr="00EE09C7">
              <w:rPr>
                <w:b/>
                <w:bCs/>
                <w:sz w:val="14"/>
                <w:szCs w:val="14"/>
              </w:rPr>
              <w:br/>
              <w:t>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Сумма</w:t>
            </w:r>
            <w:r w:rsidRPr="00EE09C7">
              <w:rPr>
                <w:b/>
                <w:bCs/>
                <w:sz w:val="14"/>
                <w:szCs w:val="14"/>
              </w:rPr>
              <w:br/>
              <w:t>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Исполнено на 01.01.2021г 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A47F4E" w:rsidTr="00AC1F56">
        <w:trPr>
          <w:trHeight w:val="4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2 640,8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2 612,0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2 640,8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2 612,0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1 328,0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99,9%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A47F4E" w:rsidTr="00AC1F56">
        <w:trPr>
          <w:trHeight w:val="5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 w:rsidRPr="00EE09C7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E09C7" w:rsidRDefault="00A47F4E" w:rsidP="00AC1F56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 w:rsidRPr="00EE09C7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E09C7" w:rsidRDefault="00A47F4E" w:rsidP="00AC1F56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5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Функционирование законодательных (представительных</w:t>
            </w:r>
            <w:proofErr w:type="gramStart"/>
            <w:r w:rsidRPr="00E47F37">
              <w:rPr>
                <w:b/>
                <w:bCs/>
                <w:sz w:val="14"/>
                <w:szCs w:val="14"/>
              </w:rPr>
              <w:t>)о</w:t>
            </w:r>
            <w:proofErr w:type="gramEnd"/>
            <w:r w:rsidRPr="00E47F37">
              <w:rPr>
                <w:b/>
                <w:bCs/>
                <w:sz w:val="14"/>
                <w:szCs w:val="1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1 216,8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1 189,4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97,7%</w:t>
            </w:r>
          </w:p>
        </w:tc>
      </w:tr>
      <w:tr w:rsidR="00A47F4E" w:rsidTr="00AC1F56">
        <w:trPr>
          <w:trHeight w:val="2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Компенсация депутатам</w:t>
            </w:r>
            <w:proofErr w:type="gramStart"/>
            <w:r w:rsidRPr="00E47F37">
              <w:rPr>
                <w:sz w:val="14"/>
                <w:szCs w:val="14"/>
              </w:rPr>
              <w:t xml:space="preserve"> ,</w:t>
            </w:r>
            <w:proofErr w:type="gramEnd"/>
            <w:r w:rsidRPr="00E47F37">
              <w:rPr>
                <w:sz w:val="14"/>
                <w:szCs w:val="14"/>
              </w:rPr>
              <w:t>осуществляющим свои полномочия на непостоянной основе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A47F4E" w:rsidTr="00AC1F56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A47F4E" w:rsidTr="00AC1F56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A47F4E" w:rsidTr="00AC1F5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1 064,5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1 045,6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98,2%</w:t>
            </w:r>
          </w:p>
        </w:tc>
      </w:tr>
      <w:tr w:rsidR="00A47F4E" w:rsidTr="00AC1F5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210,2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194,1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210,2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194,1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5642A" w:rsidRDefault="00A47F4E" w:rsidP="00AC1F56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2.3.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  <w:p w:rsidR="00A47F4E" w:rsidRPr="00E47F37" w:rsidRDefault="00A47F4E" w:rsidP="00AC1F5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E47F37" w:rsidRDefault="00A47F4E" w:rsidP="00AC1F56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31 031,0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28 371,0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91,4%</w:t>
            </w:r>
          </w:p>
        </w:tc>
      </w:tr>
      <w:tr w:rsidR="00A47F4E" w:rsidTr="00AC1F56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10 784,6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8 476,2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78,6%</w:t>
            </w:r>
          </w:p>
        </w:tc>
      </w:tr>
      <w:tr w:rsidR="00A47F4E" w:rsidTr="00AC1F56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</w:t>
            </w:r>
            <w:r w:rsidRPr="00993293">
              <w:rPr>
                <w:b/>
                <w:bCs/>
                <w:sz w:val="14"/>
                <w:szCs w:val="14"/>
              </w:rPr>
              <w:lastRenderedPageBreak/>
              <w:t>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93293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10 412,1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8 311,5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79,8%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93293" w:rsidRDefault="00A47F4E" w:rsidP="00AC1F56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57876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6 826,6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6 637,8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97,2%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1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1 487,5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1 308,5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88,0%</w:t>
            </w:r>
          </w:p>
        </w:tc>
      </w:tr>
      <w:tr w:rsidR="00A47F4E" w:rsidTr="00AC1F5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1 487,5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1 308,5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88,0%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35,2%</w:t>
            </w:r>
          </w:p>
        </w:tc>
      </w:tr>
      <w:tr w:rsidR="00A47F4E" w:rsidTr="00AC1F56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57876" w:rsidRDefault="00A47F4E" w:rsidP="00AC1F56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35,2%</w:t>
            </w:r>
          </w:p>
        </w:tc>
      </w:tr>
      <w:tr w:rsidR="00A47F4E" w:rsidTr="00AC1F5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B033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AB033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AB0334">
              <w:rPr>
                <w:b/>
                <w:bCs/>
                <w:sz w:val="14"/>
                <w:szCs w:val="14"/>
              </w:rPr>
              <w:t xml:space="preserve"> Морские ворота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AB0334" w:rsidRDefault="00A47F4E" w:rsidP="00AC1F56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1 680,7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1 673,7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99,6%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1 543,9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1 543,9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F7A5D" w:rsidRDefault="00A47F4E" w:rsidP="00AC1F56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870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172,5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95,5%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4C387D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4C387D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4C387D" w:rsidRDefault="00A47F4E" w:rsidP="00AC1F56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noProof/>
                <w:sz w:val="13"/>
                <w:szCs w:val="1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238125</wp:posOffset>
                  </wp:positionV>
                  <wp:extent cx="76200" cy="371475"/>
                  <wp:effectExtent l="0" t="0" r="0" b="0"/>
                  <wp:wrapNone/>
                  <wp:docPr id="7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23183850"/>
                            <a:ext cx="76200" cy="371475"/>
                            <a:chOff x="1876425" y="23183850"/>
                            <a:chExt cx="76200" cy="371475"/>
                          </a:xfrm>
                        </a:grpSpPr>
                        <a:sp>
                          <a:nvSpPr>
                            <a:cNvPr id="30221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23183850"/>
                              <a:ext cx="7620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3"/>
                <w:szCs w:val="13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238125</wp:posOffset>
                  </wp:positionV>
                  <wp:extent cx="76200" cy="200025"/>
                  <wp:effectExtent l="0" t="0" r="0" b="0"/>
                  <wp:wrapNone/>
                  <wp:docPr id="8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23183850"/>
                            <a:ext cx="76200" cy="200025"/>
                            <a:chOff x="1876425" y="23183850"/>
                            <a:chExt cx="76200" cy="200025"/>
                          </a:xfrm>
                        </a:grpSpPr>
                        <a:sp>
                          <a:nvSpPr>
                            <a:cNvPr id="30222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23183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sz w:val="13"/>
                <w:szCs w:val="13"/>
              </w:rPr>
              <w:t xml:space="preserve"> Г</w:t>
            </w:r>
            <w:r w:rsidRPr="00110D93">
              <w:rPr>
                <w:b/>
                <w:bCs/>
                <w:sz w:val="13"/>
                <w:szCs w:val="13"/>
              </w:rPr>
              <w:t>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 xml:space="preserve">Ведомственные целевые программы  по предупреждению и ликвидации  последствий чрезвычайных ситуаций  и </w:t>
            </w:r>
            <w:r w:rsidRPr="00110D93">
              <w:rPr>
                <w:sz w:val="13"/>
                <w:szCs w:val="13"/>
              </w:rPr>
              <w:lastRenderedPageBreak/>
              <w:t>стихийных бедствий, гражданской обороне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lastRenderedPageBreak/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 xml:space="preserve"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110D93" w:rsidRDefault="00A47F4E" w:rsidP="00AC1F56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Ведомственные целевые программы в области содействия занятости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F6B7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6F6B73" w:rsidRDefault="00A47F4E" w:rsidP="00AC1F56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A47F4E" w:rsidTr="00AC1F56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 xml:space="preserve">Ведомственные целевые  программы по благоустройству придомовых и </w:t>
            </w:r>
            <w:proofErr w:type="spellStart"/>
            <w:r w:rsidRPr="00CE04E2">
              <w:rPr>
                <w:b/>
                <w:bCs/>
                <w:sz w:val="14"/>
                <w:szCs w:val="14"/>
              </w:rPr>
              <w:t>внутридворовых</w:t>
            </w:r>
            <w:proofErr w:type="spellEnd"/>
            <w:r w:rsidRPr="00CE04E2">
              <w:rPr>
                <w:b/>
                <w:bCs/>
                <w:sz w:val="14"/>
                <w:szCs w:val="14"/>
              </w:rPr>
              <w:t xml:space="preserve"> территорий 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2020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CE04E2" w:rsidRDefault="00A47F4E" w:rsidP="00AC1F56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682,5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680,9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9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FE22B3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FE22B3">
              <w:rPr>
                <w:b/>
                <w:bCs/>
                <w:sz w:val="14"/>
                <w:szCs w:val="14"/>
              </w:rPr>
              <w:t xml:space="preserve"> Морские ворота на 202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FE22B3">
              <w:rPr>
                <w:b/>
                <w:bCs/>
                <w:sz w:val="14"/>
                <w:szCs w:val="14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576,0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574,9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99,8%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E22B3">
              <w:rPr>
                <w:b/>
                <w:bCs/>
                <w:sz w:val="14"/>
                <w:szCs w:val="14"/>
              </w:rPr>
              <w:t>досуговых</w:t>
            </w:r>
            <w:proofErr w:type="spellEnd"/>
            <w:r w:rsidRPr="00FE22B3">
              <w:rPr>
                <w:b/>
                <w:bCs/>
                <w:sz w:val="14"/>
                <w:szCs w:val="14"/>
              </w:rPr>
              <w:t xml:space="preserve"> мероприятий для жителей муниципального образования МО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FE22B3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FE22B3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A47F4E" w:rsidTr="00AC1F56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FE22B3" w:rsidRDefault="00A47F4E" w:rsidP="00AC1F56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FE22B3" w:rsidRDefault="00A47F4E" w:rsidP="00AC1F56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A47F4E" w:rsidTr="00AC1F56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lastRenderedPageBreak/>
              <w:t>3.3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Муниципальная программа «Участие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2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 xml:space="preserve">Муниципальная программа «Проведение работ по профилактике терроризма и экстремизма, а также минимизация и (или) ликвидация последствий проявления терроризма и экстремизма на территории МО </w:t>
            </w:r>
            <w:proofErr w:type="spellStart"/>
            <w:proofErr w:type="gramStart"/>
            <w:r w:rsidRPr="00756F18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756F18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6F18" w:rsidRDefault="00A47F4E" w:rsidP="00AC1F56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6F18" w:rsidRDefault="00A47F4E" w:rsidP="00AC1F56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5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 </w:t>
            </w:r>
            <w:proofErr w:type="spellStart"/>
            <w:r w:rsidRPr="008B00FB">
              <w:rPr>
                <w:b/>
                <w:bCs/>
                <w:sz w:val="14"/>
                <w:szCs w:val="14"/>
              </w:rPr>
              <w:t>психоактивных</w:t>
            </w:r>
            <w:proofErr w:type="spellEnd"/>
            <w:r w:rsidRPr="008B00FB">
              <w:rPr>
                <w:b/>
                <w:bCs/>
                <w:sz w:val="14"/>
                <w:szCs w:val="14"/>
              </w:rPr>
              <w:t xml:space="preserve"> веществ, наркомании в Санкт-Петербурге на 2020 год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A47F4E" w:rsidTr="00AC1F56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A47F4E" w:rsidTr="00AC1F56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B00FB" w:rsidRDefault="00A47F4E" w:rsidP="00AC1F56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B00FB" w:rsidRDefault="00A47F4E" w:rsidP="00AC1F56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1 125,2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1 109,4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1 125,2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1 109,4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0005FD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0005FD">
              <w:rPr>
                <w:b/>
                <w:bCs/>
                <w:sz w:val="14"/>
                <w:szCs w:val="14"/>
              </w:rPr>
              <w:t xml:space="preserve"> Морские ворота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A47F4E" w:rsidTr="00AC1F56">
        <w:trPr>
          <w:trHeight w:val="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A47F4E" w:rsidTr="00AC1F56">
        <w:trPr>
          <w:trHeight w:val="3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0005FD" w:rsidRDefault="00A47F4E" w:rsidP="00AC1F56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3 596,3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3 548,3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98,7%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 xml:space="preserve"> </w:t>
            </w:r>
            <w:proofErr w:type="gramStart"/>
            <w:r w:rsidRPr="009E2865">
              <w:rPr>
                <w:sz w:val="14"/>
                <w:szCs w:val="14"/>
              </w:rPr>
              <w:t xml:space="preserve">Назначение, выплата, перерасчет ежемесячной доплаты за стаж (общую продолжительность) работы </w:t>
            </w:r>
            <w:r w:rsidRPr="009E2865">
              <w:rPr>
                <w:sz w:val="14"/>
                <w:szCs w:val="14"/>
              </w:rPr>
              <w:lastRenderedPageBreak/>
              <w:t>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9E2865">
              <w:rPr>
                <w:sz w:val="14"/>
                <w:szCs w:val="14"/>
              </w:rPr>
              <w:t xml:space="preserve"> в соответствии с законом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9E2865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lastRenderedPageBreak/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9E2865" w:rsidRDefault="00A47F4E" w:rsidP="00AC1F56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 xml:space="preserve">Охрана семьи и детства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2 690,2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2 642,3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A47F4E" w:rsidTr="00AC1F56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202A92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202A92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A47F4E" w:rsidTr="00AC1F56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202A92" w:rsidRDefault="00A47F4E" w:rsidP="00AC1F56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7416E1">
              <w:rPr>
                <w:b/>
                <w:bCs/>
                <w:sz w:val="14"/>
                <w:szCs w:val="14"/>
              </w:rPr>
              <w:t>I</w:t>
            </w:r>
            <w:proofErr w:type="gramEnd"/>
            <w:r w:rsidRPr="007416E1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7416E1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7416E1">
              <w:rPr>
                <w:b/>
                <w:bCs/>
                <w:sz w:val="14"/>
                <w:szCs w:val="14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7416E1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7416E1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 xml:space="preserve">СРЕДСТВА МАССОВОЙ ИНФОРМАЦИИ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</w:t>
            </w:r>
          </w:p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33 671,8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30 983,0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416E1" w:rsidRDefault="00A47F4E" w:rsidP="00AC1F56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92,0%</w:t>
            </w:r>
          </w:p>
        </w:tc>
      </w:tr>
    </w:tbl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rPr>
          <w:b/>
          <w:bCs/>
          <w:lang w:val="en-US"/>
        </w:rPr>
      </w:pPr>
    </w:p>
    <w:p w:rsidR="00A47F4E" w:rsidRDefault="00A47F4E" w:rsidP="00A47F4E">
      <w:pPr>
        <w:rPr>
          <w:b/>
          <w:bCs/>
          <w:lang w:val="en-US"/>
        </w:rPr>
      </w:pPr>
    </w:p>
    <w:p w:rsidR="00A47F4E" w:rsidRDefault="00A47F4E" w:rsidP="00A47F4E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03 </w:t>
      </w:r>
    </w:p>
    <w:p w:rsidR="00A47F4E" w:rsidRDefault="00A47F4E" w:rsidP="00A47F4E">
      <w:pPr>
        <w:ind w:left="4956"/>
      </w:pPr>
      <w:r>
        <w:t xml:space="preserve">      к Решению Муниципального Совета </w:t>
      </w:r>
    </w:p>
    <w:p w:rsidR="00A47F4E" w:rsidRDefault="00A47F4E" w:rsidP="00A47F4E">
      <w:pPr>
        <w:ind w:left="4248" w:firstLine="708"/>
      </w:pPr>
      <w:r>
        <w:t xml:space="preserve">      муниципального образования </w:t>
      </w:r>
    </w:p>
    <w:p w:rsidR="00A47F4E" w:rsidRDefault="00A47F4E" w:rsidP="00A47F4E">
      <w:pPr>
        <w:ind w:left="4248" w:firstLine="708"/>
      </w:pPr>
      <w:r>
        <w:t xml:space="preserve">      муниципальный округ Морские ворота </w:t>
      </w:r>
    </w:p>
    <w:p w:rsidR="00A47F4E" w:rsidRDefault="00A47F4E" w:rsidP="00A47F4E">
      <w:pPr>
        <w:ind w:left="4956"/>
      </w:pPr>
      <w:r>
        <w:t>      от __.__.2021</w:t>
      </w:r>
      <w:r w:rsidRPr="00715F84">
        <w:t xml:space="preserve"> </w:t>
      </w:r>
      <w:r>
        <w:t>№ __/__</w:t>
      </w:r>
    </w:p>
    <w:p w:rsidR="00A47F4E" w:rsidRDefault="00A47F4E" w:rsidP="00A47F4E">
      <w:pPr>
        <w:rPr>
          <w:b/>
          <w:bCs/>
        </w:rPr>
      </w:pPr>
    </w:p>
    <w:p w:rsidR="00A47F4E" w:rsidRDefault="00A47F4E" w:rsidP="00A47F4E">
      <w:pPr>
        <w:rPr>
          <w:b/>
          <w:bCs/>
        </w:rPr>
      </w:pPr>
    </w:p>
    <w:p w:rsidR="00A47F4E" w:rsidRDefault="00A47F4E" w:rsidP="00A47F4E">
      <w:pPr>
        <w:rPr>
          <w:b/>
          <w:bCs/>
        </w:rPr>
      </w:pPr>
    </w:p>
    <w:p w:rsidR="00A47F4E" w:rsidRDefault="00A47F4E" w:rsidP="00A47F4E">
      <w:pPr>
        <w:jc w:val="center"/>
        <w:rPr>
          <w:b/>
          <w:bCs/>
        </w:rPr>
      </w:pPr>
      <w:r>
        <w:pict>
          <v:shape id="_x0000_s1030" type="#_x0000_t202" style="position:absolute;left:0;text-align:left;margin-left:4in;margin-top:53.1pt;width:8.95pt;height:23.3pt;z-index:251661312" filled="f" stroked="f" strokecolor="windowText" o:insetmode="auto">
            <v:textbox>
              <w:txbxContent>
                <w:p w:rsidR="00A47F4E" w:rsidRDefault="00A47F4E" w:rsidP="00A47F4E"/>
              </w:txbxContent>
            </v:textbox>
          </v:shape>
        </w:pict>
      </w:r>
      <w:r>
        <w:rPr>
          <w:b/>
          <w:bCs/>
        </w:rPr>
        <w:t xml:space="preserve">Отчет об исполнении бюджета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по расходам за 2020 год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по разделам и подразделам классификации расходов бюджетов</w:t>
      </w:r>
    </w:p>
    <w:p w:rsidR="00A47F4E" w:rsidRDefault="00A47F4E" w:rsidP="00A47F4E">
      <w:pPr>
        <w:jc w:val="center"/>
        <w:rPr>
          <w:b/>
          <w:bCs/>
        </w:rPr>
      </w:pPr>
    </w:p>
    <w:p w:rsidR="00A47F4E" w:rsidRDefault="00A47F4E" w:rsidP="00A47F4E">
      <w:pPr>
        <w:jc w:val="center"/>
        <w:rPr>
          <w:b/>
          <w:bCs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402"/>
        <w:gridCol w:w="1134"/>
        <w:gridCol w:w="1343"/>
        <w:gridCol w:w="1342"/>
        <w:gridCol w:w="1288"/>
      </w:tblGrid>
      <w:tr w:rsidR="00A47F4E" w:rsidTr="00AC1F56">
        <w:trPr>
          <w:trHeight w:val="11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01.01.2021г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13 425,4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11 088,2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82,6%</w:t>
            </w:r>
          </w:p>
        </w:tc>
      </w:tr>
      <w:tr w:rsidR="00A47F4E" w:rsidTr="00AC1F56">
        <w:trPr>
          <w:trHeight w:val="1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1 328,0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1 326,6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99,9%</w:t>
            </w:r>
          </w:p>
        </w:tc>
      </w:tr>
      <w:tr w:rsidR="00A47F4E" w:rsidTr="00AC1F56">
        <w:trPr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845BC7">
              <w:rPr>
                <w:sz w:val="16"/>
                <w:szCs w:val="16"/>
              </w:rPr>
              <w:t>)о</w:t>
            </w:r>
            <w:proofErr w:type="gramEnd"/>
            <w:r w:rsidRPr="00845BC7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1 216,8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1 189,4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97,7%</w:t>
            </w:r>
          </w:p>
        </w:tc>
      </w:tr>
      <w:tr w:rsidR="00A47F4E" w:rsidTr="00AC1F56">
        <w:trPr>
          <w:trHeight w:val="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10 412,1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8 311,5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79,8%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268,5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260,7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97,1%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1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76200" cy="200025"/>
                  <wp:effectExtent l="0" t="0" r="0" b="0"/>
                  <wp:wrapNone/>
                  <wp:docPr id="9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4857750"/>
                            <a:ext cx="76200" cy="200025"/>
                            <a:chOff x="1876425" y="4857750"/>
                            <a:chExt cx="76200" cy="200025"/>
                          </a:xfrm>
                        </a:grpSpPr>
                        <a:sp>
                          <a:nvSpPr>
                            <a:cNvPr id="4143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8577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845B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0401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11 730,3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0503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12 000,0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11 730,3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97,8%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680,9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92,3%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576,0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574,9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99,8%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1 125,2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1 109,4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845BC7" w:rsidRDefault="00A47F4E" w:rsidP="00AC1F56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845BC7" w:rsidRDefault="00A47F4E" w:rsidP="00AC1F56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0801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1 125,2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1 109,4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DE594C" w:rsidRDefault="00A47F4E" w:rsidP="00AC1F56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98,6%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3 596,3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3 548,3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98,7%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577,1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577,1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329,0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328,9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2 690,2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2 642,3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98,2%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1 750,0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1 733,5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1102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1 750,0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1 733,5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99,1%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556DC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7556D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1 077,4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1 077,4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Pr="007556DC" w:rsidRDefault="00A47F4E" w:rsidP="00AC1F56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1202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1 077,4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1 077,4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A47F4E" w:rsidTr="00AC1F56">
        <w:trPr>
          <w:trHeight w:val="7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33 671,8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30 983,0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92,0%</w:t>
            </w:r>
          </w:p>
        </w:tc>
      </w:tr>
    </w:tbl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jc w:val="right"/>
      </w:pPr>
    </w:p>
    <w:p w:rsidR="00A47F4E" w:rsidRDefault="00A47F4E" w:rsidP="00A47F4E">
      <w:pPr>
        <w:rPr>
          <w:b/>
          <w:bCs/>
          <w:lang w:val="en-US"/>
        </w:rPr>
      </w:pPr>
    </w:p>
    <w:p w:rsidR="00A47F4E" w:rsidRDefault="00A47F4E" w:rsidP="00A47F4E">
      <w:pPr>
        <w:rPr>
          <w:b/>
          <w:bCs/>
          <w:lang w:val="en-US"/>
        </w:rPr>
      </w:pPr>
    </w:p>
    <w:p w:rsidR="00A47F4E" w:rsidRDefault="00A47F4E" w:rsidP="00A47F4E">
      <w:pPr>
        <w:ind w:left="4248" w:firstLine="708"/>
        <w:rPr>
          <w:b/>
          <w:bCs/>
        </w:rPr>
      </w:pPr>
    </w:p>
    <w:p w:rsidR="00A47F4E" w:rsidRDefault="00A47F4E" w:rsidP="00A47F4E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04 </w:t>
      </w:r>
    </w:p>
    <w:p w:rsidR="00A47F4E" w:rsidRDefault="00A47F4E" w:rsidP="00A47F4E">
      <w:pPr>
        <w:ind w:left="4956"/>
      </w:pPr>
      <w:r>
        <w:t xml:space="preserve">      к Решению Муниципального Совета </w:t>
      </w:r>
    </w:p>
    <w:p w:rsidR="00A47F4E" w:rsidRDefault="00A47F4E" w:rsidP="00A47F4E">
      <w:pPr>
        <w:ind w:left="4248" w:firstLine="708"/>
      </w:pPr>
      <w:r>
        <w:t xml:space="preserve">      муниципального образования </w:t>
      </w:r>
    </w:p>
    <w:p w:rsidR="00A47F4E" w:rsidRDefault="00A47F4E" w:rsidP="00A47F4E">
      <w:pPr>
        <w:ind w:left="4248" w:firstLine="708"/>
      </w:pPr>
      <w:r>
        <w:t xml:space="preserve">      муниципальный округ Морские ворота </w:t>
      </w:r>
    </w:p>
    <w:p w:rsidR="00A47F4E" w:rsidRDefault="00A47F4E" w:rsidP="00A47F4E">
      <w:pPr>
        <w:ind w:left="4956"/>
      </w:pPr>
      <w:r>
        <w:t>      от __.__.20</w:t>
      </w:r>
      <w:r w:rsidRPr="00715F84">
        <w:t>2</w:t>
      </w:r>
      <w:r>
        <w:t>1 № __/__</w:t>
      </w:r>
    </w:p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Морские ворота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по источникам финансирования дефицита бюджета за 2020 год</w:t>
      </w:r>
    </w:p>
    <w:p w:rsidR="00A47F4E" w:rsidRDefault="00A47F4E" w:rsidP="00A47F4E">
      <w:pPr>
        <w:jc w:val="center"/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A47F4E" w:rsidRDefault="00A47F4E" w:rsidP="00A47F4E">
      <w:pPr>
        <w:jc w:val="center"/>
      </w:pPr>
    </w:p>
    <w:p w:rsidR="00A47F4E" w:rsidRDefault="00A47F4E" w:rsidP="00A47F4E">
      <w:pPr>
        <w:jc w:val="center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0"/>
        <w:gridCol w:w="4130"/>
        <w:gridCol w:w="1170"/>
        <w:gridCol w:w="1170"/>
        <w:gridCol w:w="1080"/>
      </w:tblGrid>
      <w:tr w:rsidR="00A47F4E" w:rsidTr="00AC1F56">
        <w:trPr>
          <w:trHeight w:val="100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01.01.2021г.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A47F4E" w:rsidTr="00AC1F56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182,8%</w:t>
            </w:r>
          </w:p>
        </w:tc>
      </w:tr>
      <w:tr w:rsidR="00A47F4E" w:rsidTr="00AC1F56">
        <w:trPr>
          <w:trHeight w:val="5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182,8%</w:t>
            </w:r>
          </w:p>
        </w:tc>
      </w:tr>
      <w:tr w:rsidR="00A47F4E" w:rsidTr="00AC1F56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38 733,1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40 237,0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103,9%</w:t>
            </w:r>
          </w:p>
        </w:tc>
      </w:tr>
      <w:tr w:rsidR="00A47F4E" w:rsidTr="00AC1F56">
        <w:trPr>
          <w:trHeight w:val="15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38 733,1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40 237,0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103,9%</w:t>
            </w:r>
          </w:p>
        </w:tc>
      </w:tr>
      <w:tr w:rsidR="00A47F4E" w:rsidTr="00AC1F56">
        <w:trPr>
          <w:trHeight w:val="12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33 671,8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30 983,0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92,0%</w:t>
            </w:r>
          </w:p>
        </w:tc>
      </w:tr>
      <w:tr w:rsidR="00A47F4E" w:rsidTr="00AC1F56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33 671,8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30 983,0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92,0%</w:t>
            </w:r>
          </w:p>
        </w:tc>
      </w:tr>
      <w:tr w:rsidR="00A47F4E" w:rsidRPr="007556DC" w:rsidTr="00AC1F56">
        <w:trPr>
          <w:trHeight w:val="26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4E" w:rsidRPr="007556DC" w:rsidRDefault="00A47F4E" w:rsidP="00AC1F56">
            <w:pPr>
              <w:jc w:val="right"/>
              <w:rPr>
                <w:b/>
                <w:sz w:val="16"/>
                <w:szCs w:val="16"/>
              </w:rPr>
            </w:pPr>
            <w:r w:rsidRPr="007556DC">
              <w:rPr>
                <w:b/>
                <w:sz w:val="16"/>
                <w:szCs w:val="16"/>
              </w:rPr>
              <w:t>182,8%</w:t>
            </w:r>
          </w:p>
        </w:tc>
      </w:tr>
    </w:tbl>
    <w:p w:rsidR="00A47F4E" w:rsidRDefault="00A47F4E" w:rsidP="00A47F4E">
      <w:pPr>
        <w:jc w:val="center"/>
      </w:pPr>
    </w:p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05 </w:t>
      </w:r>
    </w:p>
    <w:p w:rsidR="00A47F4E" w:rsidRDefault="00A47F4E" w:rsidP="00A47F4E">
      <w:pPr>
        <w:ind w:left="4956"/>
      </w:pPr>
      <w:r>
        <w:t xml:space="preserve">      к Решению Муниципального Совета </w:t>
      </w:r>
    </w:p>
    <w:p w:rsidR="00A47F4E" w:rsidRDefault="00A47F4E" w:rsidP="00A47F4E">
      <w:pPr>
        <w:ind w:left="4248" w:firstLine="708"/>
      </w:pPr>
      <w:r>
        <w:t xml:space="preserve">      муниципального образования </w:t>
      </w:r>
    </w:p>
    <w:p w:rsidR="00A47F4E" w:rsidRDefault="00A47F4E" w:rsidP="00A47F4E">
      <w:pPr>
        <w:ind w:left="4248" w:firstLine="708"/>
      </w:pPr>
      <w:r>
        <w:t xml:space="preserve">      муниципальный округ Морские ворота </w:t>
      </w:r>
    </w:p>
    <w:p w:rsidR="00A47F4E" w:rsidRDefault="00A47F4E" w:rsidP="00A47F4E">
      <w:pPr>
        <w:ind w:left="4956"/>
      </w:pPr>
      <w:r>
        <w:t>      от __.__.20</w:t>
      </w:r>
      <w:r w:rsidRPr="00210748">
        <w:t>2</w:t>
      </w:r>
      <w:r>
        <w:t>1 № __/__</w:t>
      </w:r>
    </w:p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>
      <w:pPr>
        <w:jc w:val="center"/>
        <w:rPr>
          <w:b/>
          <w:bCs/>
        </w:rPr>
      </w:pP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Отчет об использовании бюджетных ассигнований  резервного фонда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 xml:space="preserve">Местной Администрации муниципального образования </w:t>
      </w:r>
    </w:p>
    <w:p w:rsidR="00A47F4E" w:rsidRDefault="00A47F4E" w:rsidP="00A47F4E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за 2020 год</w:t>
      </w:r>
    </w:p>
    <w:p w:rsidR="00A47F4E" w:rsidRDefault="00A47F4E" w:rsidP="00A47F4E"/>
    <w:p w:rsidR="00A47F4E" w:rsidRDefault="00A47F4E" w:rsidP="00A47F4E"/>
    <w:p w:rsidR="00A47F4E" w:rsidRDefault="00A47F4E" w:rsidP="00A47F4E"/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60"/>
        <w:gridCol w:w="900"/>
        <w:gridCol w:w="1080"/>
        <w:gridCol w:w="1080"/>
        <w:gridCol w:w="720"/>
        <w:gridCol w:w="900"/>
        <w:gridCol w:w="1260"/>
      </w:tblGrid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целевой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вида</w:t>
            </w:r>
            <w:r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01.01.2020 год (тыс. руб.)</w:t>
            </w:r>
          </w:p>
        </w:tc>
      </w:tr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7F4E" w:rsidTr="00AC1F5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F4E" w:rsidRDefault="00A47F4E" w:rsidP="00AC1F5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4E" w:rsidRDefault="00A47F4E" w:rsidP="00AC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F4E" w:rsidRDefault="00A47F4E" w:rsidP="00AC1F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A47F4E" w:rsidRDefault="00A47F4E" w:rsidP="00A47F4E">
      <w:pPr>
        <w:jc w:val="center"/>
        <w:rPr>
          <w:b/>
          <w:bCs/>
        </w:rPr>
      </w:pPr>
    </w:p>
    <w:p w:rsidR="00A47F4E" w:rsidRDefault="00A47F4E" w:rsidP="00A47F4E"/>
    <w:p w:rsidR="00A47F4E" w:rsidRDefault="00A47F4E" w:rsidP="00A47F4E"/>
    <w:p w:rsidR="00A47F4E" w:rsidRDefault="00A47F4E" w:rsidP="00A47F4E"/>
    <w:p w:rsidR="00A47F4E" w:rsidRDefault="00A47F4E" w:rsidP="00A47F4E">
      <w:pPr>
        <w:pStyle w:val="ConsPlusNormal"/>
        <w:widowControl/>
        <w:ind w:left="4208"/>
      </w:pPr>
    </w:p>
    <w:p w:rsidR="00A47F4E" w:rsidRPr="00461823" w:rsidRDefault="00A47F4E" w:rsidP="00A47F4E">
      <w:pPr>
        <w:jc w:val="both"/>
        <w:rPr>
          <w:b/>
          <w:bCs/>
        </w:rPr>
      </w:pPr>
    </w:p>
    <w:p w:rsidR="00A47F4E" w:rsidRDefault="00A47F4E" w:rsidP="00512F68">
      <w:pPr>
        <w:ind w:left="4248" w:firstLine="708"/>
        <w:rPr>
          <w:b/>
          <w:bCs/>
        </w:rPr>
      </w:pPr>
    </w:p>
    <w:sectPr w:rsidR="00A47F4E" w:rsidSect="00512F68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63" w:rsidRDefault="00322363" w:rsidP="00512F68">
      <w:r>
        <w:separator/>
      </w:r>
    </w:p>
  </w:endnote>
  <w:endnote w:type="continuationSeparator" w:id="0">
    <w:p w:rsidR="00322363" w:rsidRDefault="00322363" w:rsidP="0051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698"/>
      <w:docPartObj>
        <w:docPartGallery w:val="Page Numbers (Bottom of Page)"/>
        <w:docPartUnique/>
      </w:docPartObj>
    </w:sdtPr>
    <w:sdtContent>
      <w:p w:rsidR="00512F68" w:rsidRDefault="00E348D1">
        <w:pPr>
          <w:pStyle w:val="a7"/>
          <w:jc w:val="right"/>
        </w:pPr>
        <w:fldSimple w:instr=" PAGE   \* MERGEFORMAT ">
          <w:r w:rsidR="00A47F4E">
            <w:rPr>
              <w:noProof/>
            </w:rPr>
            <w:t>2</w:t>
          </w:r>
        </w:fldSimple>
      </w:p>
    </w:sdtContent>
  </w:sdt>
  <w:p w:rsidR="00512F68" w:rsidRDefault="00512F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63" w:rsidRDefault="00322363" w:rsidP="00512F68">
      <w:r>
        <w:separator/>
      </w:r>
    </w:p>
  </w:footnote>
  <w:footnote w:type="continuationSeparator" w:id="0">
    <w:p w:rsidR="00322363" w:rsidRDefault="00322363" w:rsidP="0051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E3919"/>
    <w:multiLevelType w:val="hybridMultilevel"/>
    <w:tmpl w:val="DCDC5CBA"/>
    <w:lvl w:ilvl="0" w:tplc="C2085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10F3E"/>
    <w:multiLevelType w:val="hybridMultilevel"/>
    <w:tmpl w:val="C2EEA896"/>
    <w:lvl w:ilvl="0" w:tplc="A3DCA1C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8">
    <w:nsid w:val="48B9163F"/>
    <w:multiLevelType w:val="multilevel"/>
    <w:tmpl w:val="4EFCA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3F829BB"/>
    <w:multiLevelType w:val="hybridMultilevel"/>
    <w:tmpl w:val="BC5A5E18"/>
    <w:lvl w:ilvl="0" w:tplc="DAA8E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68"/>
    <w:rsid w:val="002A6210"/>
    <w:rsid w:val="00322363"/>
    <w:rsid w:val="00512F68"/>
    <w:rsid w:val="00A47F4E"/>
    <w:rsid w:val="00A84FDF"/>
    <w:rsid w:val="00E348D1"/>
    <w:rsid w:val="00E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F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512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2F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12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12F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F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2F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2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2F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2F68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512F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2F6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51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512F6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512F68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512F68"/>
  </w:style>
  <w:style w:type="paragraph" w:styleId="a7">
    <w:name w:val="footer"/>
    <w:basedOn w:val="a"/>
    <w:link w:val="a8"/>
    <w:uiPriority w:val="99"/>
    <w:rsid w:val="00512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12F68"/>
  </w:style>
  <w:style w:type="paragraph" w:styleId="aa">
    <w:name w:val="header"/>
    <w:basedOn w:val="a"/>
    <w:link w:val="ab"/>
    <w:uiPriority w:val="99"/>
    <w:unhideWhenUsed/>
    <w:rsid w:val="00512F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512F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2F6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2F6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512F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12F6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0">
    <w:name w:val="Block Text"/>
    <w:basedOn w:val="a"/>
    <w:uiPriority w:val="99"/>
    <w:rsid w:val="00512F68"/>
    <w:pPr>
      <w:ind w:left="-142" w:right="-908"/>
      <w:jc w:val="center"/>
    </w:pPr>
    <w:rPr>
      <w:szCs w:val="20"/>
    </w:rPr>
  </w:style>
  <w:style w:type="character" w:customStyle="1" w:styleId="af1">
    <w:name w:val="Не вступил в силу"/>
    <w:basedOn w:val="a0"/>
    <w:uiPriority w:val="99"/>
    <w:rsid w:val="00512F68"/>
    <w:rPr>
      <w:color w:val="008080"/>
      <w:szCs w:val="20"/>
    </w:rPr>
  </w:style>
  <w:style w:type="paragraph" w:styleId="af2">
    <w:name w:val="List Paragraph"/>
    <w:basedOn w:val="a"/>
    <w:uiPriority w:val="99"/>
    <w:qFormat/>
    <w:rsid w:val="00512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512F68"/>
    <w:rPr>
      <w:b/>
      <w:bCs/>
    </w:rPr>
  </w:style>
  <w:style w:type="paragraph" w:customStyle="1" w:styleId="11">
    <w:name w:val="Цитата1"/>
    <w:basedOn w:val="a"/>
    <w:uiPriority w:val="99"/>
    <w:rsid w:val="00512F68"/>
    <w:pPr>
      <w:widowControl w:val="0"/>
      <w:suppressAutoHyphens/>
      <w:ind w:left="360" w:right="-1"/>
      <w:jc w:val="both"/>
    </w:pPr>
    <w:rPr>
      <w:rFonts w:eastAsia="Andale Sans UI"/>
      <w:kern w:val="1"/>
      <w:sz w:val="28"/>
      <w:szCs w:val="28"/>
    </w:rPr>
  </w:style>
  <w:style w:type="paragraph" w:customStyle="1" w:styleId="ConsPlusNormal">
    <w:name w:val="ConsPlusNormal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51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4">
    <w:name w:val="Hyperlink"/>
    <w:basedOn w:val="a0"/>
    <w:uiPriority w:val="99"/>
    <w:rsid w:val="00512F68"/>
    <w:rPr>
      <w:color w:val="0000FF"/>
      <w:u w:val="single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uiPriority w:val="99"/>
    <w:rsid w:val="00512F68"/>
    <w:pPr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rsid w:val="00512F68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cp:lastPrinted>2021-05-14T12:09:00Z</cp:lastPrinted>
  <dcterms:created xsi:type="dcterms:W3CDTF">2021-05-14T11:58:00Z</dcterms:created>
  <dcterms:modified xsi:type="dcterms:W3CDTF">2021-05-24T07:29:00Z</dcterms:modified>
</cp:coreProperties>
</file>